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7E98CA61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Nº </w:t>
            </w:r>
            <w:r w:rsidR="007341AE">
              <w:rPr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Dec. </w:t>
            </w:r>
            <w:r w:rsidRPr="006529D8">
              <w:rPr>
                <w:rFonts w:eastAsia="Arial"/>
                <w:sz w:val="22"/>
                <w:szCs w:val="22"/>
              </w:rPr>
              <w:t>N°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A6C0022" w:rsidR="00C23023" w:rsidRPr="006529D8" w:rsidRDefault="00124E0F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PG.SA-1006-25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742D59B2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B53368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124E0F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Mar del</w:t>
            </w:r>
            <w:r w:rsidR="00E178D5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 Plata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124E0F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dependencias del Departamento Judicial Mar del Plata</w:t>
            </w:r>
            <w:r w:rsidR="002A1F03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.</w:t>
            </w:r>
          </w:p>
          <w:p w14:paraId="648B4BC3" w14:textId="0F7BF7E7" w:rsidR="00290A44" w:rsidRPr="006529D8" w:rsidRDefault="00124E0F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4F24B1FE" w:rsidR="0057417D" w:rsidRPr="006529D8" w:rsidRDefault="00124E0F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>Delegación de Administración del Departamento Judicial Mar del Plata. Calle Garay N° 1945 de la ciudad de Mar del Plata</w:t>
            </w:r>
            <w:r w:rsidRPr="00124E0F">
              <w:rPr>
                <w:bCs/>
                <w:sz w:val="22"/>
                <w:szCs w:val="19"/>
              </w:rPr>
              <w:t xml:space="preserve"> – 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229ECC67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E4C03">
              <w:rPr>
                <w:rFonts w:eastAsia="Arial"/>
                <w:b/>
                <w:bCs/>
                <w:sz w:val="20"/>
                <w:szCs w:val="20"/>
              </w:rPr>
              <w:t>2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7E4C03">
              <w:rPr>
                <w:rFonts w:eastAsia="Arial"/>
                <w:b/>
                <w:bCs/>
                <w:sz w:val="20"/>
                <w:szCs w:val="20"/>
              </w:rPr>
              <w:t>octubre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E4C03">
              <w:rPr>
                <w:rFonts w:eastAsia="Arial"/>
                <w:b/>
                <w:bCs/>
                <w:sz w:val="20"/>
                <w:szCs w:val="20"/>
              </w:rPr>
              <w:t>9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32958D98" w14:textId="2D335B31" w:rsidR="00E178D5" w:rsidRPr="006529D8" w:rsidRDefault="00124E0F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>Delegación de Administración del Departamento Judicial Mar del Plata. Calle Garay N° 1945 de la ciudad de Mar del Plata</w:t>
            </w:r>
            <w:r w:rsidRPr="00124E0F">
              <w:rPr>
                <w:bCs/>
                <w:sz w:val="22"/>
                <w:szCs w:val="19"/>
              </w:rPr>
              <w:t xml:space="preserve"> – 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3FD5E3F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7E4C03">
              <w:rPr>
                <w:rFonts w:eastAsia="Arial"/>
                <w:b/>
                <w:bCs/>
                <w:sz w:val="20"/>
                <w:szCs w:val="20"/>
              </w:rPr>
              <w:t>2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7E4C03">
              <w:rPr>
                <w:rFonts w:eastAsia="Arial"/>
                <w:b/>
                <w:bCs/>
                <w:sz w:val="20"/>
                <w:szCs w:val="20"/>
              </w:rPr>
              <w:t>octubre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E4C03">
              <w:rPr>
                <w:rFonts w:eastAsia="Arial"/>
                <w:b/>
                <w:bCs/>
                <w:sz w:val="20"/>
                <w:szCs w:val="20"/>
              </w:rPr>
              <w:t>9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N°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08F73F76" w:rsidR="007F0F20" w:rsidRPr="006529D8" w:rsidRDefault="007341AE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482C6F74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105D5AD7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PG.SA-1006-25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PESOS…………….………………………………………………………….…………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r w:rsidR="002B20A9" w:rsidRPr="006529D8">
              <w:t>……</w:t>
            </w:r>
            <w:r w:rsidR="006529D8">
              <w:t>.</w:t>
            </w:r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24E0F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A1F03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41AE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4C03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53368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20FF2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1182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7</cp:revision>
  <cp:lastPrinted>2025-08-20T16:01:00Z</cp:lastPrinted>
  <dcterms:created xsi:type="dcterms:W3CDTF">2025-07-01T14:51:00Z</dcterms:created>
  <dcterms:modified xsi:type="dcterms:W3CDTF">2025-09-03T13:38:00Z</dcterms:modified>
</cp:coreProperties>
</file>